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17" w:rsidRDefault="00FD767B">
      <w:pPr>
        <w:rPr>
          <w:sz w:val="24"/>
          <w:szCs w:val="24"/>
        </w:rPr>
      </w:pPr>
      <w:r>
        <w:rPr>
          <w:sz w:val="24"/>
          <w:szCs w:val="24"/>
          <w:lang w:val="ro-RO"/>
        </w:rPr>
        <w:t>SERVICIUL TEHNIC</w:t>
      </w:r>
    </w:p>
    <w:p w:rsidR="002E6417" w:rsidRDefault="00FD767B">
      <w:r>
        <w:rPr>
          <w:sz w:val="24"/>
          <w:szCs w:val="24"/>
          <w:lang w:val="ro-RO"/>
        </w:rPr>
        <w:t>Nr.  16305 / 28.06.2019</w:t>
      </w:r>
      <w:r>
        <w:rPr>
          <w:sz w:val="28"/>
          <w:szCs w:val="28"/>
          <w:lang w:val="ro-RO"/>
        </w:rPr>
        <w:tab/>
      </w:r>
      <w:r>
        <w:rPr>
          <w:sz w:val="28"/>
          <w:szCs w:val="28"/>
          <w:lang w:val="ro-RO"/>
        </w:rPr>
        <w:tab/>
      </w:r>
      <w:r>
        <w:rPr>
          <w:sz w:val="28"/>
          <w:szCs w:val="28"/>
          <w:lang w:val="ro-RO"/>
        </w:rPr>
        <w:tab/>
      </w:r>
      <w:r>
        <w:rPr>
          <w:sz w:val="28"/>
          <w:szCs w:val="28"/>
          <w:lang w:val="ro-RO"/>
        </w:rPr>
        <w:tab/>
      </w:r>
      <w:r>
        <w:rPr>
          <w:b/>
          <w:sz w:val="28"/>
          <w:szCs w:val="28"/>
          <w:lang w:val="ro-RO"/>
        </w:rPr>
        <w:t xml:space="preserve">              </w:t>
      </w:r>
      <w:r>
        <w:rPr>
          <w:b/>
          <w:sz w:val="28"/>
          <w:szCs w:val="28"/>
          <w:lang w:val="ro-RO"/>
        </w:rPr>
        <w:tab/>
      </w:r>
      <w:r>
        <w:rPr>
          <w:b/>
          <w:sz w:val="24"/>
          <w:szCs w:val="24"/>
          <w:lang w:val="ro-RO"/>
        </w:rPr>
        <w:t>INIȚIATOR,</w:t>
      </w:r>
    </w:p>
    <w:p w:rsidR="002E6417" w:rsidRDefault="00FD767B">
      <w:pPr>
        <w:jc w:val="center"/>
        <w:rPr>
          <w:sz w:val="24"/>
          <w:szCs w:val="24"/>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PRIMAR</w:t>
      </w:r>
    </w:p>
    <w:p w:rsidR="002E6417" w:rsidRDefault="00FD767B">
      <w:pPr>
        <w:jc w:val="center"/>
        <w:rPr>
          <w:sz w:val="24"/>
          <w:szCs w:val="24"/>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Ing. Morar Costan</w:t>
      </w:r>
    </w:p>
    <w:p w:rsidR="002E6417" w:rsidRDefault="002E6417">
      <w:pPr>
        <w:jc w:val="center"/>
        <w:rPr>
          <w:b/>
          <w:sz w:val="28"/>
          <w:szCs w:val="28"/>
          <w:lang w:val="ro-RO"/>
        </w:rPr>
      </w:pPr>
    </w:p>
    <w:p w:rsidR="002E6417" w:rsidRDefault="00FD767B">
      <w:pPr>
        <w:jc w:val="center"/>
      </w:pPr>
      <w:r>
        <w:rPr>
          <w:b/>
          <w:sz w:val="28"/>
          <w:szCs w:val="28"/>
          <w:lang w:val="ro-RO"/>
        </w:rPr>
        <w:t>REFERAT</w:t>
      </w:r>
    </w:p>
    <w:p w:rsidR="002E6417" w:rsidRDefault="002E6417">
      <w:pPr>
        <w:jc w:val="center"/>
        <w:rPr>
          <w:b/>
          <w:sz w:val="28"/>
          <w:szCs w:val="28"/>
          <w:lang w:val="ro-RO"/>
        </w:rPr>
      </w:pPr>
    </w:p>
    <w:p w:rsidR="002E6417" w:rsidRPr="00ED130E" w:rsidRDefault="00FD767B">
      <w:pPr>
        <w:jc w:val="center"/>
        <w:rPr>
          <w:sz w:val="24"/>
          <w:szCs w:val="24"/>
        </w:rPr>
      </w:pPr>
      <w:r w:rsidRPr="00ED130E">
        <w:rPr>
          <w:sz w:val="24"/>
          <w:szCs w:val="24"/>
          <w:lang w:val="ro-RO"/>
        </w:rPr>
        <w:t>privind predarea către ”Ministerului Dezvoltării Regionale și Administrației Publice  prin Compania Naţională de Investiţii “C.N.I.” -  S.A a amplasamentului</w:t>
      </w:r>
      <w:r w:rsidR="000C6EFF" w:rsidRPr="00ED130E">
        <w:rPr>
          <w:sz w:val="24"/>
          <w:szCs w:val="24"/>
          <w:lang w:val="ro-RO"/>
        </w:rPr>
        <w:t xml:space="preserve"> </w:t>
      </w:r>
      <w:r w:rsidR="00ED130E" w:rsidRPr="00ED130E">
        <w:rPr>
          <w:sz w:val="24"/>
          <w:szCs w:val="24"/>
          <w:lang w:val="ro-RO"/>
        </w:rPr>
        <w:t>construcție</w:t>
      </w:r>
      <w:r w:rsidR="000C6EFF" w:rsidRPr="00ED130E">
        <w:rPr>
          <w:sz w:val="24"/>
          <w:szCs w:val="24"/>
          <w:lang w:val="ro-RO"/>
        </w:rPr>
        <w:t xml:space="preserve"> si teren   de1352 mp </w:t>
      </w:r>
      <w:r w:rsidRPr="00ED130E">
        <w:rPr>
          <w:sz w:val="24"/>
          <w:szCs w:val="24"/>
          <w:lang w:val="ro-RO"/>
        </w:rPr>
        <w:t>și asigurarea condițiilor în vederea executării obiectivului de investiții  „</w:t>
      </w:r>
      <w:r w:rsidR="000C6EFF" w:rsidRPr="00ED130E">
        <w:rPr>
          <w:sz w:val="24"/>
          <w:szCs w:val="24"/>
          <w:lang w:val="ro-RO"/>
        </w:rPr>
        <w:t>Reabilitare</w:t>
      </w:r>
      <w:r w:rsidR="00CD501A" w:rsidRPr="00ED130E">
        <w:rPr>
          <w:sz w:val="24"/>
          <w:szCs w:val="24"/>
          <w:lang w:val="ro-RO"/>
        </w:rPr>
        <w:t>a</w:t>
      </w:r>
      <w:r w:rsidR="000C6EFF" w:rsidRPr="00ED130E">
        <w:rPr>
          <w:sz w:val="24"/>
          <w:szCs w:val="24"/>
          <w:lang w:val="ro-RO"/>
        </w:rPr>
        <w:t>,modernizare</w:t>
      </w:r>
      <w:r w:rsidR="00CD501A" w:rsidRPr="00ED130E">
        <w:rPr>
          <w:sz w:val="24"/>
          <w:szCs w:val="24"/>
          <w:lang w:val="ro-RO"/>
        </w:rPr>
        <w:t>a</w:t>
      </w:r>
      <w:r w:rsidR="000C6EFF" w:rsidRPr="00ED130E">
        <w:rPr>
          <w:sz w:val="24"/>
          <w:szCs w:val="24"/>
          <w:lang w:val="ro-RO"/>
        </w:rPr>
        <w:t xml:space="preserve"> si dotarea </w:t>
      </w:r>
      <w:r w:rsidR="00ED130E" w:rsidRPr="00ED130E">
        <w:rPr>
          <w:sz w:val="24"/>
          <w:szCs w:val="24"/>
          <w:lang w:val="ro-RO"/>
        </w:rPr>
        <w:t>Căminului</w:t>
      </w:r>
      <w:r w:rsidR="000C6EFF" w:rsidRPr="00ED130E">
        <w:rPr>
          <w:sz w:val="24"/>
          <w:szCs w:val="24"/>
          <w:lang w:val="ro-RO"/>
        </w:rPr>
        <w:t xml:space="preserve"> Cultural, str. Dealul Viilor</w:t>
      </w:r>
      <w:r w:rsidR="00CD501A" w:rsidRPr="00ED130E">
        <w:rPr>
          <w:sz w:val="24"/>
          <w:szCs w:val="24"/>
          <w:lang w:val="ro-RO"/>
        </w:rPr>
        <w:t xml:space="preserve"> </w:t>
      </w:r>
      <w:r w:rsidR="000C6EFF" w:rsidRPr="00ED130E">
        <w:rPr>
          <w:sz w:val="24"/>
          <w:szCs w:val="24"/>
          <w:lang w:val="ro-RO"/>
        </w:rPr>
        <w:t>nr. 14</w:t>
      </w:r>
      <w:r w:rsidRPr="00ED130E">
        <w:rPr>
          <w:sz w:val="24"/>
          <w:szCs w:val="24"/>
          <w:lang w:val="ro-RO"/>
        </w:rPr>
        <w:t>, municipiul Dej, județul Cluj”</w:t>
      </w:r>
    </w:p>
    <w:p w:rsidR="002E6417" w:rsidRDefault="002E6417">
      <w:pPr>
        <w:jc w:val="center"/>
        <w:rPr>
          <w:sz w:val="28"/>
          <w:szCs w:val="28"/>
          <w:lang w:val="ro-RO"/>
        </w:rPr>
      </w:pPr>
    </w:p>
    <w:p w:rsidR="002E6417" w:rsidRDefault="00FD767B">
      <w:pPr>
        <w:ind w:firstLine="720"/>
        <w:jc w:val="both"/>
      </w:pPr>
      <w:r>
        <w:rPr>
          <w:sz w:val="24"/>
          <w:szCs w:val="24"/>
          <w:lang w:val="ro-RO"/>
        </w:rPr>
        <w:t>Având în vedere opo</w:t>
      </w:r>
      <w:r w:rsidR="00CD501A">
        <w:rPr>
          <w:sz w:val="24"/>
          <w:szCs w:val="24"/>
          <w:lang w:val="ro-RO"/>
        </w:rPr>
        <w:t xml:space="preserve">rtunitățile oferite </w:t>
      </w:r>
      <w:r>
        <w:rPr>
          <w:sz w:val="24"/>
          <w:szCs w:val="24"/>
          <w:lang w:val="ro-RO"/>
        </w:rPr>
        <w:t xml:space="preserve"> prin Ministerul Dezvoltării Regionale și Administrației Publice prin Compania Naţională de Investiţii “C.N.I.”</w:t>
      </w:r>
      <w:r>
        <w:rPr>
          <w:sz w:val="28"/>
          <w:szCs w:val="28"/>
          <w:lang w:val="ro-RO"/>
        </w:rPr>
        <w:t xml:space="preserve"> </w:t>
      </w:r>
      <w:r>
        <w:rPr>
          <w:sz w:val="24"/>
          <w:szCs w:val="24"/>
          <w:lang w:val="ro-RO"/>
        </w:rPr>
        <w:t>-  S.A, prin nenumărate a</w:t>
      </w:r>
      <w:r w:rsidR="00295B0A">
        <w:rPr>
          <w:sz w:val="24"/>
          <w:szCs w:val="24"/>
          <w:lang w:val="ro-RO"/>
        </w:rPr>
        <w:t xml:space="preserve">drese am solicitat și noi </w:t>
      </w:r>
      <w:r w:rsidR="00CD501A">
        <w:rPr>
          <w:sz w:val="24"/>
          <w:szCs w:val="24"/>
          <w:lang w:val="ro-RO"/>
        </w:rPr>
        <w:t>Reabilitarea,mo</w:t>
      </w:r>
      <w:r w:rsidR="00295B0A">
        <w:rPr>
          <w:sz w:val="24"/>
          <w:szCs w:val="24"/>
          <w:lang w:val="ro-RO"/>
        </w:rPr>
        <w:t>dernizarea</w:t>
      </w:r>
      <w:r w:rsidR="00CD501A">
        <w:rPr>
          <w:sz w:val="24"/>
          <w:szCs w:val="24"/>
          <w:lang w:val="ro-RO"/>
        </w:rPr>
        <w:t xml:space="preserve"> si dotarea </w:t>
      </w:r>
      <w:r w:rsidR="00ED130E">
        <w:rPr>
          <w:sz w:val="24"/>
          <w:szCs w:val="24"/>
          <w:lang w:val="ro-RO"/>
        </w:rPr>
        <w:t>Căminului</w:t>
      </w:r>
      <w:r w:rsidR="00CD501A">
        <w:rPr>
          <w:sz w:val="24"/>
          <w:szCs w:val="24"/>
          <w:lang w:val="ro-RO"/>
        </w:rPr>
        <w:t xml:space="preserve"> Cultural,</w:t>
      </w:r>
      <w:r w:rsidR="00ED130E">
        <w:rPr>
          <w:sz w:val="24"/>
          <w:szCs w:val="24"/>
          <w:lang w:val="ro-RO"/>
        </w:rPr>
        <w:t>str.</w:t>
      </w:r>
      <w:r w:rsidR="00CD501A">
        <w:rPr>
          <w:sz w:val="24"/>
          <w:szCs w:val="24"/>
          <w:lang w:val="ro-RO"/>
        </w:rPr>
        <w:t>,Dealul Viilor nr.14</w:t>
      </w:r>
      <w:r w:rsidR="00295B0A">
        <w:rPr>
          <w:sz w:val="24"/>
          <w:szCs w:val="24"/>
          <w:lang w:val="ro-RO"/>
        </w:rPr>
        <w:t xml:space="preserve"> </w:t>
      </w:r>
      <w:r w:rsidR="00CD501A">
        <w:rPr>
          <w:sz w:val="24"/>
          <w:szCs w:val="24"/>
          <w:lang w:val="ro-RO"/>
        </w:rPr>
        <w:t>Dej.</w:t>
      </w:r>
      <w:r>
        <w:rPr>
          <w:sz w:val="24"/>
          <w:szCs w:val="24"/>
          <w:lang w:val="ro-RO"/>
        </w:rPr>
        <w:t xml:space="preserve"> </w:t>
      </w:r>
    </w:p>
    <w:p w:rsidR="002E6417" w:rsidRDefault="00FD767B">
      <w:pPr>
        <w:tabs>
          <w:tab w:val="left" w:pos="0"/>
          <w:tab w:val="left" w:pos="993"/>
        </w:tabs>
        <w:jc w:val="both"/>
      </w:pPr>
      <w:r>
        <w:rPr>
          <w:sz w:val="24"/>
          <w:szCs w:val="24"/>
          <w:lang w:val="ro-RO"/>
        </w:rPr>
        <w:t>Potrivit legii Compania Națională de Investiții ”CNI” S.A. desfășoară activități de interes public  sau social pe baza programelor în domeniul construcțiilor, aprobate de Ministerul Dezvoltării Regionale si Administrației Publice. Având în vedere prevederile Ordonanței Guvernului nr. 25/2001 privind înființarea Companiei Naționale de Investiții ”CNI” SA aprobată cu modificări prin Legea nr. 117/2002 cu modificările și completările ulterioare</w:t>
      </w:r>
      <w:r w:rsidR="00CD501A">
        <w:rPr>
          <w:sz w:val="24"/>
          <w:szCs w:val="24"/>
          <w:lang w:val="ro-RO"/>
        </w:rPr>
        <w:t>,</w:t>
      </w:r>
      <w:r w:rsidR="007647D4">
        <w:rPr>
          <w:sz w:val="24"/>
          <w:szCs w:val="24"/>
          <w:lang w:val="ro-RO"/>
        </w:rPr>
        <w:t xml:space="preserve"> </w:t>
      </w:r>
      <w:r>
        <w:rPr>
          <w:sz w:val="24"/>
          <w:szCs w:val="24"/>
          <w:lang w:val="ro-RO"/>
        </w:rPr>
        <w:t xml:space="preserve"> Primăria Municip</w:t>
      </w:r>
      <w:r w:rsidR="007647D4">
        <w:rPr>
          <w:sz w:val="24"/>
          <w:szCs w:val="24"/>
          <w:lang w:val="ro-RO"/>
        </w:rPr>
        <w:t xml:space="preserve">iului Dej propune Reabilitarea, modernizarea si dotarea </w:t>
      </w:r>
      <w:r w:rsidR="00ED130E">
        <w:rPr>
          <w:sz w:val="24"/>
          <w:szCs w:val="24"/>
          <w:lang w:val="ro-RO"/>
        </w:rPr>
        <w:t>Căminului</w:t>
      </w:r>
      <w:r w:rsidR="007647D4">
        <w:rPr>
          <w:sz w:val="24"/>
          <w:szCs w:val="24"/>
          <w:lang w:val="ro-RO"/>
        </w:rPr>
        <w:t xml:space="preserve"> Cultural str.Viile Dejului, nr. 14</w:t>
      </w:r>
      <w:r>
        <w:rPr>
          <w:sz w:val="24"/>
          <w:szCs w:val="24"/>
          <w:lang w:val="ro-RO"/>
        </w:rPr>
        <w:t xml:space="preserve">, jud. Cluj. </w:t>
      </w:r>
    </w:p>
    <w:p w:rsidR="002E6417" w:rsidRDefault="007647D4">
      <w:pPr>
        <w:jc w:val="both"/>
        <w:rPr>
          <w:sz w:val="24"/>
          <w:szCs w:val="24"/>
          <w:lang w:val="ro-RO"/>
        </w:rPr>
      </w:pPr>
      <w:r>
        <w:rPr>
          <w:sz w:val="24"/>
          <w:szCs w:val="24"/>
          <w:lang w:val="ro-RO"/>
        </w:rPr>
        <w:tab/>
        <w:t xml:space="preserve">Construcțiile </w:t>
      </w:r>
      <w:r w:rsidR="00FD767B">
        <w:rPr>
          <w:sz w:val="24"/>
          <w:szCs w:val="24"/>
          <w:lang w:val="ro-RO"/>
        </w:rPr>
        <w:t xml:space="preserve"> care se realizează prin CNI S.A. se amplasează pe terenuri proprietate publică a statului ori a unităților administrativ-teritoriale, cu respectarea prevederilor legale în vigoare. Terenurile aparținând domeniului public al statului sau unităților administrativ –teritoriale, destinate</w:t>
      </w:r>
      <w:r>
        <w:rPr>
          <w:sz w:val="24"/>
          <w:szCs w:val="24"/>
          <w:lang w:val="ro-RO"/>
        </w:rPr>
        <w:t xml:space="preserve"> construcțiilor </w:t>
      </w:r>
      <w:r w:rsidR="00FD767B">
        <w:rPr>
          <w:sz w:val="24"/>
          <w:szCs w:val="24"/>
          <w:lang w:val="ro-RO"/>
        </w:rPr>
        <w:t>, se preiau în folosință gratuită, potrivit legii, de Compania Națională de Investiții ”CNI” S.A., pe perioada realizării investiției, pe bază de protocol încheiat cu beneficiarii, cu specificația expresă că terenurile sunt libere de orice sarcini. Terenurile pe car</w:t>
      </w:r>
      <w:r>
        <w:rPr>
          <w:sz w:val="24"/>
          <w:szCs w:val="24"/>
          <w:lang w:val="ro-RO"/>
        </w:rPr>
        <w:t xml:space="preserve">e se amplasează </w:t>
      </w:r>
      <w:r w:rsidR="00ED130E">
        <w:rPr>
          <w:sz w:val="24"/>
          <w:szCs w:val="24"/>
          <w:lang w:val="ro-RO"/>
        </w:rPr>
        <w:t>investițiile</w:t>
      </w:r>
      <w:r>
        <w:rPr>
          <w:sz w:val="24"/>
          <w:szCs w:val="24"/>
          <w:lang w:val="ro-RO"/>
        </w:rPr>
        <w:t xml:space="preserve"> </w:t>
      </w:r>
      <w:r w:rsidR="00FD767B">
        <w:rPr>
          <w:sz w:val="24"/>
          <w:szCs w:val="24"/>
          <w:lang w:val="ro-RO"/>
        </w:rPr>
        <w:t>ce se realizează prin Compania Națională de Investiții S.A. se viabilizează de către beneficiari, conform documentelor urbanistice și în corelare cu graficele semnate de antreprenorul general, cu respectarea reglementărilor în vigoare.</w:t>
      </w:r>
    </w:p>
    <w:p w:rsidR="002E6417" w:rsidRDefault="00FD767B">
      <w:pPr>
        <w:jc w:val="both"/>
      </w:pPr>
      <w:r>
        <w:rPr>
          <w:sz w:val="24"/>
          <w:szCs w:val="24"/>
          <w:lang w:val="ro-RO"/>
        </w:rPr>
        <w:tab/>
        <w:t>Pentru obiectivele de investiții propuse a fi finanțate anual, Compania Națională de Investiții S.A. preia de la beneficiari, potrivit legii, terenurile aferente construcțiilor, conform protocolului prevăzut în anexă. Acestea sunt preluate pe durata de realizare a investiției, după aprobarea listei obiect</w:t>
      </w:r>
      <w:r w:rsidR="007647D4">
        <w:rPr>
          <w:sz w:val="24"/>
          <w:szCs w:val="24"/>
          <w:lang w:val="ro-RO"/>
        </w:rPr>
        <w:t xml:space="preserve">ivelor de investiții </w:t>
      </w:r>
      <w:r>
        <w:rPr>
          <w:sz w:val="24"/>
          <w:szCs w:val="24"/>
          <w:lang w:val="ro-RO"/>
        </w:rPr>
        <w:t xml:space="preserve"> de către Ministerul Dezvoltării Regionale si Administrației Publice și obținerea surselor de finanțare, în condițiile legii. Potrivit Extrasului de carte funciară emis de Oficiul de Cadastru și Publ</w:t>
      </w:r>
      <w:r w:rsidR="00237D44">
        <w:rPr>
          <w:sz w:val="24"/>
          <w:szCs w:val="24"/>
          <w:lang w:val="ro-RO"/>
        </w:rPr>
        <w:t xml:space="preserve">icitate Imobiliară Dej, </w:t>
      </w:r>
      <w:r w:rsidR="00ED130E">
        <w:rPr>
          <w:sz w:val="24"/>
          <w:szCs w:val="24"/>
          <w:lang w:val="ro-RO"/>
        </w:rPr>
        <w:t>Căminul</w:t>
      </w:r>
      <w:r w:rsidR="00237D44">
        <w:rPr>
          <w:sz w:val="24"/>
          <w:szCs w:val="24"/>
          <w:lang w:val="ro-RO"/>
        </w:rPr>
        <w:t xml:space="preserve"> Cultural</w:t>
      </w:r>
      <w:r>
        <w:rPr>
          <w:sz w:val="24"/>
          <w:szCs w:val="24"/>
          <w:lang w:val="ro-RO"/>
        </w:rPr>
        <w:t xml:space="preserve"> situa</w:t>
      </w:r>
      <w:r w:rsidR="00237D44">
        <w:rPr>
          <w:sz w:val="24"/>
          <w:szCs w:val="24"/>
          <w:lang w:val="ro-RO"/>
        </w:rPr>
        <w:t>t în Loc. Dej, str. Dealul Viilor nr. 14</w:t>
      </w:r>
      <w:r>
        <w:rPr>
          <w:sz w:val="24"/>
          <w:szCs w:val="24"/>
          <w:lang w:val="ro-RO"/>
        </w:rPr>
        <w:t xml:space="preserve"> a fost înscris</w:t>
      </w:r>
      <w:r w:rsidR="00B93E9C">
        <w:rPr>
          <w:sz w:val="24"/>
          <w:szCs w:val="24"/>
          <w:lang w:val="ro-RO"/>
        </w:rPr>
        <w:t xml:space="preserve"> în Cartea Funciară cu nr. 62654</w:t>
      </w:r>
      <w:r>
        <w:rPr>
          <w:sz w:val="24"/>
          <w:szCs w:val="24"/>
          <w:lang w:val="ro-RO"/>
        </w:rPr>
        <w:t>, ca proprietate a Orașului Dej, intabulare, drept de proprietat</w:t>
      </w:r>
      <w:r w:rsidR="00AF432C">
        <w:rPr>
          <w:sz w:val="24"/>
          <w:szCs w:val="24"/>
          <w:lang w:val="ro-RO"/>
        </w:rPr>
        <w:t xml:space="preserve">e cotă actuală de 1/1. </w:t>
      </w:r>
      <w:r w:rsidR="00ED130E">
        <w:rPr>
          <w:sz w:val="24"/>
          <w:szCs w:val="24"/>
          <w:lang w:val="ro-RO"/>
        </w:rPr>
        <w:t xml:space="preserve">Căminul Cultural se </w:t>
      </w:r>
      <w:r w:rsidR="00ED130E">
        <w:rPr>
          <w:sz w:val="24"/>
          <w:szCs w:val="24"/>
          <w:lang w:val="ro-RO"/>
        </w:rPr>
        <w:lastRenderedPageBreak/>
        <w:t xml:space="preserve">încadrează ca bun din domeniul public al Municipiului Dej, fiind înscris la poziția 419 din anexa HG  nr. </w:t>
      </w:r>
      <w:r>
        <w:rPr>
          <w:sz w:val="24"/>
          <w:szCs w:val="24"/>
          <w:lang w:val="ro-RO"/>
        </w:rPr>
        <w:t xml:space="preserve">684/2002  privind însușirea bunurilor care alcătuiesc domeniul public al Municipiului Dej.   </w:t>
      </w:r>
    </w:p>
    <w:p w:rsidR="002E6417" w:rsidRDefault="00AF432C">
      <w:pPr>
        <w:jc w:val="both"/>
        <w:rPr>
          <w:sz w:val="24"/>
          <w:szCs w:val="24"/>
          <w:lang w:val="ro-RO"/>
        </w:rPr>
      </w:pPr>
      <w:r>
        <w:rPr>
          <w:sz w:val="24"/>
          <w:szCs w:val="24"/>
          <w:lang w:val="ro-RO"/>
        </w:rPr>
        <w:tab/>
      </w:r>
      <w:r w:rsidR="00FD767B">
        <w:rPr>
          <w:sz w:val="24"/>
          <w:szCs w:val="24"/>
          <w:lang w:val="ro-RO"/>
        </w:rPr>
        <w:t xml:space="preserve"> Pentru a venii în sprijinul cetățenilor, Primăria Municipiului Dej, dorește să fructifice oportunitatea  de finanțare oferită  prin CNI SA, întrucât costurile totale de investiții depășesc posibilitățile financiare ale Municipiului Dej.  </w:t>
      </w:r>
    </w:p>
    <w:p w:rsidR="002E6417" w:rsidRDefault="00FD767B" w:rsidP="00AF432C">
      <w:pPr>
        <w:jc w:val="both"/>
        <w:rPr>
          <w:sz w:val="24"/>
          <w:szCs w:val="24"/>
          <w:lang w:val="ro-RO"/>
        </w:rPr>
      </w:pPr>
      <w:r>
        <w:rPr>
          <w:sz w:val="24"/>
          <w:szCs w:val="24"/>
          <w:lang w:val="ro-RO"/>
        </w:rPr>
        <w:tab/>
        <w:t>Prin CNI S.A. s</w:t>
      </w:r>
      <w:r w:rsidR="00AF432C">
        <w:rPr>
          <w:sz w:val="24"/>
          <w:szCs w:val="24"/>
          <w:lang w:val="ro-RO"/>
        </w:rPr>
        <w:t xml:space="preserve">e pot executa </w:t>
      </w:r>
      <w:r w:rsidR="00ED130E">
        <w:rPr>
          <w:sz w:val="24"/>
          <w:szCs w:val="24"/>
          <w:lang w:val="ro-RO"/>
        </w:rPr>
        <w:t>lucrări</w:t>
      </w:r>
      <w:r w:rsidR="00AF432C">
        <w:rPr>
          <w:sz w:val="24"/>
          <w:szCs w:val="24"/>
          <w:lang w:val="ro-RO"/>
        </w:rPr>
        <w:t xml:space="preserve"> de modernizare,reabilitare si do</w:t>
      </w:r>
      <w:r w:rsidR="00FD1851">
        <w:rPr>
          <w:sz w:val="24"/>
          <w:szCs w:val="24"/>
          <w:lang w:val="ro-RO"/>
        </w:rPr>
        <w:t xml:space="preserve">tare </w:t>
      </w:r>
      <w:r w:rsidR="00ED130E">
        <w:rPr>
          <w:sz w:val="24"/>
          <w:szCs w:val="24"/>
          <w:lang w:val="ro-RO"/>
        </w:rPr>
        <w:t>Cămin</w:t>
      </w:r>
      <w:r w:rsidR="00FD1851">
        <w:rPr>
          <w:sz w:val="24"/>
          <w:szCs w:val="24"/>
          <w:lang w:val="ro-RO"/>
        </w:rPr>
        <w:t xml:space="preserve"> Cultural,constâ</w:t>
      </w:r>
      <w:r w:rsidR="00AF432C">
        <w:rPr>
          <w:sz w:val="24"/>
          <w:szCs w:val="24"/>
          <w:lang w:val="ro-RO"/>
        </w:rPr>
        <w:t xml:space="preserve">nd </w:t>
      </w:r>
      <w:r w:rsidR="00FD1851">
        <w:rPr>
          <w:sz w:val="24"/>
          <w:szCs w:val="24"/>
          <w:lang w:val="ro-RO"/>
        </w:rPr>
        <w:t>î</w:t>
      </w:r>
      <w:r w:rsidR="00AF432C">
        <w:rPr>
          <w:sz w:val="24"/>
          <w:szCs w:val="24"/>
          <w:lang w:val="ro-RO"/>
        </w:rPr>
        <w:t>n</w:t>
      </w:r>
      <w:r w:rsidR="00FD1851">
        <w:rPr>
          <w:sz w:val="24"/>
          <w:szCs w:val="24"/>
          <w:lang w:val="ro-RO"/>
        </w:rPr>
        <w:t>:</w:t>
      </w:r>
    </w:p>
    <w:p w:rsidR="00FD1851" w:rsidRDefault="00FD1851" w:rsidP="00FD1851">
      <w:pPr>
        <w:pStyle w:val="Listparagraf"/>
        <w:numPr>
          <w:ilvl w:val="0"/>
          <w:numId w:val="8"/>
        </w:numPr>
        <w:jc w:val="both"/>
        <w:rPr>
          <w:sz w:val="24"/>
          <w:szCs w:val="24"/>
          <w:lang w:val="ro-RO"/>
        </w:rPr>
      </w:pPr>
      <w:r>
        <w:rPr>
          <w:sz w:val="24"/>
          <w:szCs w:val="24"/>
          <w:lang w:val="ro-RO"/>
        </w:rPr>
        <w:t>Refacerea tâmplăriei exterioare și interioare</w:t>
      </w:r>
    </w:p>
    <w:p w:rsidR="00FD1851" w:rsidRDefault="00FD1851" w:rsidP="00FD1851">
      <w:pPr>
        <w:pStyle w:val="Listparagraf"/>
        <w:numPr>
          <w:ilvl w:val="0"/>
          <w:numId w:val="8"/>
        </w:numPr>
        <w:jc w:val="both"/>
        <w:rPr>
          <w:sz w:val="24"/>
          <w:szCs w:val="24"/>
          <w:lang w:val="ro-RO"/>
        </w:rPr>
      </w:pPr>
      <w:r>
        <w:rPr>
          <w:sz w:val="24"/>
          <w:szCs w:val="24"/>
          <w:lang w:val="ro-RO"/>
        </w:rPr>
        <w:t>Anveloparea clădirii la exterior cu termosistem și cu tencuială decorativă</w:t>
      </w:r>
    </w:p>
    <w:p w:rsidR="00FD1851" w:rsidRDefault="00FD1851" w:rsidP="00FD1851">
      <w:pPr>
        <w:pStyle w:val="Listparagraf"/>
        <w:numPr>
          <w:ilvl w:val="0"/>
          <w:numId w:val="8"/>
        </w:numPr>
        <w:jc w:val="both"/>
        <w:rPr>
          <w:sz w:val="24"/>
          <w:szCs w:val="24"/>
          <w:lang w:val="ro-RO"/>
        </w:rPr>
      </w:pPr>
      <w:r>
        <w:rPr>
          <w:sz w:val="24"/>
          <w:szCs w:val="24"/>
          <w:lang w:val="ro-RO"/>
        </w:rPr>
        <w:t>Refacerea tencuielilor interioare</w:t>
      </w:r>
    </w:p>
    <w:p w:rsidR="00FD1851" w:rsidRDefault="00FD1851" w:rsidP="00FD1851">
      <w:pPr>
        <w:pStyle w:val="Listparagraf"/>
        <w:numPr>
          <w:ilvl w:val="0"/>
          <w:numId w:val="8"/>
        </w:numPr>
        <w:jc w:val="both"/>
        <w:rPr>
          <w:sz w:val="24"/>
          <w:szCs w:val="24"/>
          <w:lang w:val="ro-RO"/>
        </w:rPr>
      </w:pPr>
      <w:r>
        <w:rPr>
          <w:sz w:val="24"/>
          <w:szCs w:val="24"/>
          <w:lang w:val="ro-RO"/>
        </w:rPr>
        <w:t xml:space="preserve">Placarea </w:t>
      </w:r>
      <w:r w:rsidR="00ED130E">
        <w:rPr>
          <w:sz w:val="24"/>
          <w:szCs w:val="24"/>
          <w:lang w:val="ro-RO"/>
        </w:rPr>
        <w:t>tavanelor</w:t>
      </w:r>
      <w:r>
        <w:rPr>
          <w:sz w:val="24"/>
          <w:szCs w:val="24"/>
          <w:lang w:val="ro-RO"/>
        </w:rPr>
        <w:t xml:space="preserve"> cu rigips</w:t>
      </w:r>
    </w:p>
    <w:p w:rsidR="00FD1851" w:rsidRDefault="00FD1851" w:rsidP="00FD1851">
      <w:pPr>
        <w:pStyle w:val="Listparagraf"/>
        <w:numPr>
          <w:ilvl w:val="0"/>
          <w:numId w:val="8"/>
        </w:numPr>
        <w:jc w:val="both"/>
        <w:rPr>
          <w:sz w:val="24"/>
          <w:szCs w:val="24"/>
          <w:lang w:val="ro-RO"/>
        </w:rPr>
      </w:pPr>
      <w:r>
        <w:rPr>
          <w:sz w:val="24"/>
          <w:szCs w:val="24"/>
          <w:lang w:val="ro-RO"/>
        </w:rPr>
        <w:t>Z</w:t>
      </w:r>
      <w:r w:rsidR="007A77E0">
        <w:rPr>
          <w:sz w:val="24"/>
          <w:szCs w:val="24"/>
          <w:lang w:val="ro-RO"/>
        </w:rPr>
        <w:t>ugră</w:t>
      </w:r>
      <w:r>
        <w:rPr>
          <w:sz w:val="24"/>
          <w:szCs w:val="24"/>
          <w:lang w:val="ro-RO"/>
        </w:rPr>
        <w:t>veli lavabile</w:t>
      </w:r>
    </w:p>
    <w:p w:rsidR="00FD1851" w:rsidRDefault="00FD1851" w:rsidP="00FD1851">
      <w:pPr>
        <w:pStyle w:val="Listparagraf"/>
        <w:numPr>
          <w:ilvl w:val="0"/>
          <w:numId w:val="8"/>
        </w:numPr>
        <w:jc w:val="both"/>
        <w:rPr>
          <w:sz w:val="24"/>
          <w:szCs w:val="24"/>
          <w:lang w:val="ro-RO"/>
        </w:rPr>
      </w:pPr>
      <w:r>
        <w:rPr>
          <w:sz w:val="24"/>
          <w:szCs w:val="24"/>
          <w:lang w:val="ro-RO"/>
        </w:rPr>
        <w:t>Refacerea pardoselilor cu gresogranit și</w:t>
      </w:r>
      <w:r w:rsidR="007A77E0">
        <w:rPr>
          <w:sz w:val="24"/>
          <w:szCs w:val="24"/>
          <w:lang w:val="ro-RO"/>
        </w:rPr>
        <w:t xml:space="preserve"> parchet de trafic intens</w:t>
      </w:r>
    </w:p>
    <w:p w:rsidR="007A77E0" w:rsidRDefault="007A77E0" w:rsidP="00FD1851">
      <w:pPr>
        <w:pStyle w:val="Listparagraf"/>
        <w:numPr>
          <w:ilvl w:val="0"/>
          <w:numId w:val="8"/>
        </w:numPr>
        <w:jc w:val="both"/>
        <w:rPr>
          <w:sz w:val="24"/>
          <w:szCs w:val="24"/>
          <w:lang w:val="ro-RO"/>
        </w:rPr>
      </w:pPr>
      <w:r>
        <w:rPr>
          <w:sz w:val="24"/>
          <w:szCs w:val="24"/>
          <w:lang w:val="ro-RO"/>
        </w:rPr>
        <w:t>Refacerea pardoselii cu parchet de trafic intens</w:t>
      </w:r>
    </w:p>
    <w:p w:rsidR="007A77E0" w:rsidRDefault="007A77E0" w:rsidP="00FD1851">
      <w:pPr>
        <w:pStyle w:val="Listparagraf"/>
        <w:numPr>
          <w:ilvl w:val="0"/>
          <w:numId w:val="8"/>
        </w:numPr>
        <w:jc w:val="both"/>
        <w:rPr>
          <w:sz w:val="24"/>
          <w:szCs w:val="24"/>
          <w:lang w:val="ro-RO"/>
        </w:rPr>
      </w:pPr>
      <w:r>
        <w:rPr>
          <w:sz w:val="24"/>
          <w:szCs w:val="24"/>
          <w:lang w:val="ro-RO"/>
        </w:rPr>
        <w:t>Refacerea balustradelor la accesul la etaj</w:t>
      </w:r>
    </w:p>
    <w:p w:rsidR="007A77E0" w:rsidRDefault="007A77E0" w:rsidP="00FD1851">
      <w:pPr>
        <w:pStyle w:val="Listparagraf"/>
        <w:numPr>
          <w:ilvl w:val="0"/>
          <w:numId w:val="8"/>
        </w:numPr>
        <w:jc w:val="both"/>
        <w:rPr>
          <w:sz w:val="24"/>
          <w:szCs w:val="24"/>
          <w:lang w:val="ro-RO"/>
        </w:rPr>
      </w:pPr>
      <w:r>
        <w:rPr>
          <w:sz w:val="24"/>
          <w:szCs w:val="24"/>
          <w:lang w:val="ro-RO"/>
        </w:rPr>
        <w:t>Amenajarea unor noi grupuri sanitare</w:t>
      </w:r>
    </w:p>
    <w:p w:rsidR="007A77E0" w:rsidRDefault="007A77E0" w:rsidP="00FD1851">
      <w:pPr>
        <w:pStyle w:val="Listparagraf"/>
        <w:numPr>
          <w:ilvl w:val="0"/>
          <w:numId w:val="8"/>
        </w:numPr>
        <w:jc w:val="both"/>
        <w:rPr>
          <w:sz w:val="24"/>
          <w:szCs w:val="24"/>
          <w:lang w:val="ro-RO"/>
        </w:rPr>
      </w:pPr>
      <w:r>
        <w:rPr>
          <w:sz w:val="24"/>
          <w:szCs w:val="24"/>
          <w:lang w:val="ro-RO"/>
        </w:rPr>
        <w:t>Recompartimentări interioare</w:t>
      </w:r>
    </w:p>
    <w:p w:rsidR="007A77E0" w:rsidRDefault="007A77E0" w:rsidP="00FD1851">
      <w:pPr>
        <w:pStyle w:val="Listparagraf"/>
        <w:numPr>
          <w:ilvl w:val="0"/>
          <w:numId w:val="8"/>
        </w:numPr>
        <w:jc w:val="both"/>
        <w:rPr>
          <w:sz w:val="24"/>
          <w:szCs w:val="24"/>
          <w:lang w:val="ro-RO"/>
        </w:rPr>
      </w:pPr>
      <w:r>
        <w:rPr>
          <w:sz w:val="24"/>
          <w:szCs w:val="24"/>
          <w:lang w:val="ro-RO"/>
        </w:rPr>
        <w:t>Refacerea accesului pe terase și a scărilor exterioare</w:t>
      </w:r>
    </w:p>
    <w:p w:rsidR="007A77E0" w:rsidRDefault="007A77E0" w:rsidP="00FD1851">
      <w:pPr>
        <w:pStyle w:val="Listparagraf"/>
        <w:numPr>
          <w:ilvl w:val="0"/>
          <w:numId w:val="8"/>
        </w:numPr>
        <w:jc w:val="both"/>
        <w:rPr>
          <w:sz w:val="24"/>
          <w:szCs w:val="24"/>
          <w:lang w:val="ro-RO"/>
        </w:rPr>
      </w:pPr>
      <w:r>
        <w:rPr>
          <w:sz w:val="24"/>
          <w:szCs w:val="24"/>
          <w:lang w:val="ro-RO"/>
        </w:rPr>
        <w:t>Înlocuirea jgheaburilor și burlanelor existente</w:t>
      </w:r>
    </w:p>
    <w:p w:rsidR="007A77E0" w:rsidRDefault="007A77E0" w:rsidP="00FD1851">
      <w:pPr>
        <w:pStyle w:val="Listparagraf"/>
        <w:numPr>
          <w:ilvl w:val="0"/>
          <w:numId w:val="8"/>
        </w:numPr>
        <w:jc w:val="both"/>
        <w:rPr>
          <w:sz w:val="24"/>
          <w:szCs w:val="24"/>
          <w:lang w:val="ro-RO"/>
        </w:rPr>
      </w:pPr>
      <w:r>
        <w:rPr>
          <w:sz w:val="24"/>
          <w:szCs w:val="24"/>
          <w:lang w:val="ro-RO"/>
        </w:rPr>
        <w:t>Proiectarea instalațiilor electrice,sanitare,termice,gaz,branșamentelor de apă</w:t>
      </w:r>
    </w:p>
    <w:p w:rsidR="007A77E0" w:rsidRDefault="007A77E0" w:rsidP="00FD1851">
      <w:pPr>
        <w:pStyle w:val="Listparagraf"/>
        <w:numPr>
          <w:ilvl w:val="0"/>
          <w:numId w:val="8"/>
        </w:numPr>
        <w:jc w:val="both"/>
        <w:rPr>
          <w:sz w:val="24"/>
          <w:szCs w:val="24"/>
          <w:lang w:val="ro-RO"/>
        </w:rPr>
      </w:pPr>
      <w:r>
        <w:rPr>
          <w:sz w:val="24"/>
          <w:szCs w:val="24"/>
          <w:lang w:val="ro-RO"/>
        </w:rPr>
        <w:t>Racord canal</w:t>
      </w:r>
    </w:p>
    <w:p w:rsidR="007A77E0" w:rsidRPr="00FD1851" w:rsidRDefault="007A77E0" w:rsidP="00FD1851">
      <w:pPr>
        <w:pStyle w:val="Listparagraf"/>
        <w:numPr>
          <w:ilvl w:val="0"/>
          <w:numId w:val="8"/>
        </w:numPr>
        <w:jc w:val="both"/>
        <w:rPr>
          <w:sz w:val="24"/>
          <w:szCs w:val="24"/>
          <w:lang w:val="ro-RO"/>
        </w:rPr>
      </w:pPr>
      <w:r>
        <w:rPr>
          <w:sz w:val="24"/>
          <w:szCs w:val="24"/>
          <w:lang w:val="ro-RO"/>
        </w:rPr>
        <w:t>Dotări mobilier,aparatura electronică</w:t>
      </w:r>
    </w:p>
    <w:p w:rsidR="002E6417" w:rsidRDefault="00FD767B">
      <w:pPr>
        <w:pStyle w:val="Listparagraf"/>
        <w:ind w:left="0" w:firstLine="720"/>
        <w:jc w:val="both"/>
        <w:rPr>
          <w:sz w:val="24"/>
          <w:szCs w:val="24"/>
          <w:lang w:val="ro-RO"/>
        </w:rPr>
      </w:pPr>
      <w:r>
        <w:rPr>
          <w:sz w:val="24"/>
          <w:szCs w:val="24"/>
          <w:lang w:val="ro-RO"/>
        </w:rPr>
        <w:t>Având în vedere cele expuse mai sus propunem spre aprobarea Consiliului Local Dej următoarele:</w:t>
      </w:r>
    </w:p>
    <w:p w:rsidR="002E6417" w:rsidRDefault="00FD767B">
      <w:pPr>
        <w:pStyle w:val="Listparagraf"/>
        <w:numPr>
          <w:ilvl w:val="0"/>
          <w:numId w:val="2"/>
        </w:numPr>
        <w:jc w:val="both"/>
      </w:pPr>
      <w:r>
        <w:rPr>
          <w:sz w:val="24"/>
          <w:szCs w:val="24"/>
          <w:lang w:val="ro-RO"/>
        </w:rPr>
        <w:t>Transmiterea în folosință gratuită a terenului pe perioada execuți</w:t>
      </w:r>
      <w:r w:rsidR="00433F26">
        <w:rPr>
          <w:sz w:val="24"/>
          <w:szCs w:val="24"/>
          <w:lang w:val="ro-RO"/>
        </w:rPr>
        <w:t>ei lucrării în suprafață de 1352</w:t>
      </w:r>
      <w:r>
        <w:rPr>
          <w:sz w:val="24"/>
          <w:szCs w:val="24"/>
          <w:lang w:val="ro-RO"/>
        </w:rPr>
        <w:t xml:space="preserve"> mp, situat în jud</w:t>
      </w:r>
      <w:r w:rsidR="00433F26">
        <w:rPr>
          <w:sz w:val="24"/>
          <w:szCs w:val="24"/>
          <w:lang w:val="ro-RO"/>
        </w:rPr>
        <w:t xml:space="preserve">. Cluj, Loc. Dej, str. dealul Viilornr.14 </w:t>
      </w:r>
      <w:r>
        <w:rPr>
          <w:sz w:val="24"/>
          <w:szCs w:val="24"/>
          <w:lang w:val="ro-RO"/>
        </w:rPr>
        <w:t xml:space="preserve">, identificat potrivit planului de situație și Extrasului Funciar (explicitat prin Planul de amplasament și delimitare a </w:t>
      </w:r>
      <w:r w:rsidR="00ED130E">
        <w:rPr>
          <w:sz w:val="24"/>
          <w:szCs w:val="24"/>
          <w:lang w:val="ro-RO"/>
        </w:rPr>
        <w:t>suprafeței</w:t>
      </w:r>
      <w:r w:rsidR="00433F26">
        <w:rPr>
          <w:sz w:val="24"/>
          <w:szCs w:val="24"/>
          <w:lang w:val="ro-RO"/>
        </w:rPr>
        <w:t xml:space="preserve"> de 1352</w:t>
      </w:r>
      <w:r>
        <w:rPr>
          <w:sz w:val="24"/>
          <w:szCs w:val="24"/>
          <w:lang w:val="ro-RO"/>
        </w:rPr>
        <w:t>mp).</w:t>
      </w:r>
    </w:p>
    <w:p w:rsidR="002E6417" w:rsidRDefault="00FD767B">
      <w:pPr>
        <w:pStyle w:val="Listparagraf"/>
        <w:numPr>
          <w:ilvl w:val="0"/>
          <w:numId w:val="2"/>
        </w:numPr>
        <w:jc w:val="both"/>
        <w:rPr>
          <w:sz w:val="24"/>
          <w:szCs w:val="24"/>
          <w:lang w:val="ro-RO"/>
        </w:rPr>
      </w:pPr>
      <w:r>
        <w:rPr>
          <w:sz w:val="24"/>
          <w:szCs w:val="24"/>
          <w:lang w:val="ro-RO"/>
        </w:rPr>
        <w:t xml:space="preserve">Terenul identificat la pct. </w:t>
      </w:r>
      <w:r w:rsidR="00ED130E">
        <w:rPr>
          <w:sz w:val="24"/>
          <w:szCs w:val="24"/>
          <w:lang w:val="ro-RO"/>
        </w:rPr>
        <w:t>1 face parte integrantă din domeniul public al municipiului  Dej și se transmite în folosință gratuită spre SC Compania Națională de Investiții SA pe toată durata realizării construcției( reabilitare,modernizare și dotare Cămin Cultural str.Dealul Viilor nr.14</w:t>
      </w:r>
    </w:p>
    <w:p w:rsidR="002E6417" w:rsidRDefault="00FD767B">
      <w:pPr>
        <w:pStyle w:val="Listparagraf"/>
        <w:numPr>
          <w:ilvl w:val="0"/>
          <w:numId w:val="2"/>
        </w:numPr>
        <w:jc w:val="both"/>
        <w:rPr>
          <w:sz w:val="24"/>
          <w:szCs w:val="24"/>
          <w:lang w:val="ro-RO"/>
        </w:rPr>
      </w:pPr>
      <w:r>
        <w:rPr>
          <w:sz w:val="24"/>
          <w:szCs w:val="24"/>
          <w:lang w:val="ro-RO"/>
        </w:rPr>
        <w:t xml:space="preserve">Predarea terenului necesar pentru depozitare, organizare de </w:t>
      </w:r>
      <w:r w:rsidR="00ED130E">
        <w:rPr>
          <w:sz w:val="24"/>
          <w:szCs w:val="24"/>
          <w:lang w:val="ro-RO"/>
        </w:rPr>
        <w:t>șantier</w:t>
      </w:r>
      <w:r>
        <w:rPr>
          <w:sz w:val="24"/>
          <w:szCs w:val="24"/>
          <w:lang w:val="ro-RO"/>
        </w:rPr>
        <w:t xml:space="preserve"> și realizarea </w:t>
      </w:r>
      <w:r w:rsidR="00ED130E">
        <w:rPr>
          <w:sz w:val="24"/>
          <w:szCs w:val="24"/>
          <w:lang w:val="ro-RO"/>
        </w:rPr>
        <w:t>investiției</w:t>
      </w:r>
      <w:r>
        <w:rPr>
          <w:sz w:val="24"/>
          <w:szCs w:val="24"/>
          <w:lang w:val="ro-RO"/>
        </w:rPr>
        <w:t xml:space="preserve"> se face în condițiile legii, pe bază de protocol de predare-primire între municipiul Dej și SC Compania Națională de Investiții SA – CNI SA.</w:t>
      </w:r>
    </w:p>
    <w:p w:rsidR="002E6417" w:rsidRDefault="00FD767B">
      <w:pPr>
        <w:pStyle w:val="Listparagraf"/>
        <w:numPr>
          <w:ilvl w:val="0"/>
          <w:numId w:val="2"/>
        </w:numPr>
        <w:jc w:val="both"/>
        <w:rPr>
          <w:sz w:val="24"/>
          <w:szCs w:val="24"/>
          <w:lang w:val="ro-RO"/>
        </w:rPr>
      </w:pPr>
      <w:r>
        <w:rPr>
          <w:sz w:val="24"/>
          <w:szCs w:val="24"/>
          <w:lang w:val="ro-RO"/>
        </w:rPr>
        <w:t xml:space="preserve">Consiliul Local Dej se angajează să asigure finanțarea pentru  </w:t>
      </w:r>
    </w:p>
    <w:p w:rsidR="002E6417" w:rsidRDefault="00FD767B">
      <w:pPr>
        <w:pStyle w:val="Listparagraf"/>
        <w:numPr>
          <w:ilvl w:val="0"/>
          <w:numId w:val="3"/>
        </w:numPr>
        <w:jc w:val="both"/>
        <w:rPr>
          <w:sz w:val="24"/>
          <w:szCs w:val="24"/>
          <w:lang w:val="ro-RO"/>
        </w:rPr>
      </w:pPr>
      <w:r>
        <w:rPr>
          <w:sz w:val="24"/>
          <w:szCs w:val="24"/>
          <w:lang w:val="ro-RO"/>
        </w:rPr>
        <w:t>Lucrări de sistematizare a amplasamentului</w:t>
      </w:r>
    </w:p>
    <w:p w:rsidR="002E6417" w:rsidRDefault="00FD767B">
      <w:pPr>
        <w:pStyle w:val="Listparagraf"/>
        <w:numPr>
          <w:ilvl w:val="0"/>
          <w:numId w:val="3"/>
        </w:numPr>
        <w:jc w:val="both"/>
        <w:rPr>
          <w:sz w:val="24"/>
          <w:szCs w:val="24"/>
          <w:lang w:val="ro-RO"/>
        </w:rPr>
      </w:pPr>
      <w:r>
        <w:rPr>
          <w:sz w:val="24"/>
          <w:szCs w:val="24"/>
          <w:lang w:val="ro-RO"/>
        </w:rPr>
        <w:t>Racorduri la utilități (electrica, apă, canal, gaz sau alt tip de combustibil utilizat)</w:t>
      </w:r>
    </w:p>
    <w:p w:rsidR="002E6417" w:rsidRPr="00ED130E" w:rsidRDefault="00FD767B" w:rsidP="00ED130E">
      <w:pPr>
        <w:pStyle w:val="Listparagraf"/>
        <w:numPr>
          <w:ilvl w:val="0"/>
          <w:numId w:val="3"/>
        </w:numPr>
        <w:jc w:val="both"/>
        <w:rPr>
          <w:sz w:val="24"/>
          <w:szCs w:val="24"/>
          <w:lang w:val="ro-RO"/>
        </w:rPr>
      </w:pPr>
      <w:r>
        <w:rPr>
          <w:sz w:val="24"/>
          <w:szCs w:val="24"/>
          <w:lang w:val="ro-RO"/>
        </w:rPr>
        <w:t xml:space="preserve">Întreținerea și exploatarea obiectivului de investiții pe o </w:t>
      </w:r>
      <w:r w:rsidR="00433F26">
        <w:rPr>
          <w:sz w:val="24"/>
          <w:szCs w:val="24"/>
          <w:lang w:val="ro-RO"/>
        </w:rPr>
        <w:t>perioada de 15 ani</w:t>
      </w:r>
      <w:bookmarkStart w:id="0" w:name="_GoBack"/>
      <w:bookmarkEnd w:id="0"/>
    </w:p>
    <w:p w:rsidR="002E6417" w:rsidRDefault="00433F26">
      <w:pPr>
        <w:jc w:val="center"/>
      </w:pPr>
      <w:r>
        <w:rPr>
          <w:b/>
          <w:sz w:val="24"/>
          <w:szCs w:val="24"/>
          <w:lang w:val="ro-RO"/>
        </w:rPr>
        <w:t xml:space="preserve">Șef  </w:t>
      </w:r>
      <w:r w:rsidR="00FD767B">
        <w:rPr>
          <w:b/>
          <w:sz w:val="24"/>
          <w:szCs w:val="24"/>
          <w:lang w:val="ro-RO"/>
        </w:rPr>
        <w:t xml:space="preserve"> Serviciul  Tehnic</w:t>
      </w:r>
    </w:p>
    <w:p w:rsidR="002E6417" w:rsidRDefault="00FD767B">
      <w:pPr>
        <w:jc w:val="center"/>
      </w:pPr>
      <w:r>
        <w:rPr>
          <w:b/>
          <w:sz w:val="24"/>
          <w:szCs w:val="24"/>
          <w:lang w:val="ro-RO"/>
        </w:rPr>
        <w:t>Ing. Gherman Alexandru</w:t>
      </w:r>
    </w:p>
    <w:sectPr w:rsidR="002E6417">
      <w:headerReference w:type="default" r:id="rId9"/>
      <w:pgSz w:w="12240" w:h="15840"/>
      <w:pgMar w:top="1440" w:right="1440" w:bottom="1440" w:left="1440" w:header="720" w:footer="72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C7" w:rsidRDefault="00C415C7">
      <w:r>
        <w:separator/>
      </w:r>
    </w:p>
  </w:endnote>
  <w:endnote w:type="continuationSeparator" w:id="0">
    <w:p w:rsidR="00C415C7" w:rsidRDefault="00C4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C7" w:rsidRDefault="00C415C7">
      <w:r>
        <w:separator/>
      </w:r>
    </w:p>
  </w:footnote>
  <w:footnote w:type="continuationSeparator" w:id="0">
    <w:p w:rsidR="00C415C7" w:rsidRDefault="00C4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17" w:rsidRDefault="00FD767B">
    <w:pPr>
      <w:tabs>
        <w:tab w:val="center" w:pos="4320"/>
        <w:tab w:val="right" w:pos="8640"/>
      </w:tabs>
      <w:rPr>
        <w:lang w:val="pt-BR" w:eastAsia="nl-NL"/>
      </w:rPr>
    </w:pPr>
    <w:r>
      <w:rPr>
        <w:lang w:val="pt-BR" w:eastAsia="nl-NL"/>
      </w:rPr>
      <w:t xml:space="preserve">     </w:t>
    </w:r>
  </w:p>
  <w:tbl>
    <w:tblPr>
      <w:tblW w:w="9468" w:type="dxa"/>
      <w:tblInd w:w="109" w:type="dxa"/>
      <w:tblLook w:val="04A0" w:firstRow="1" w:lastRow="0" w:firstColumn="1" w:lastColumn="0" w:noHBand="0" w:noVBand="1"/>
    </w:tblPr>
    <w:tblGrid>
      <w:gridCol w:w="1459"/>
      <w:gridCol w:w="6620"/>
      <w:gridCol w:w="1389"/>
    </w:tblGrid>
    <w:tr w:rsidR="002E6417">
      <w:trPr>
        <w:trHeight w:val="1276"/>
      </w:trPr>
      <w:tc>
        <w:tcPr>
          <w:tcW w:w="1459" w:type="dxa"/>
          <w:shd w:val="clear" w:color="auto" w:fill="auto"/>
        </w:tcPr>
        <w:p w:rsidR="002E6417" w:rsidRDefault="00FD767B">
          <w:pPr>
            <w:rPr>
              <w:rFonts w:ascii="Bookman Old Style" w:eastAsia="Calibri" w:hAnsi="Bookman Old Style"/>
              <w:sz w:val="22"/>
              <w:szCs w:val="22"/>
              <w:lang w:val="ro-RO"/>
            </w:rPr>
          </w:pPr>
          <w:r>
            <w:rPr>
              <w:noProof/>
              <w:lang w:val="ro-RO"/>
            </w:rPr>
            <w:drawing>
              <wp:inline distT="0" distB="0" distL="0" distR="0">
                <wp:extent cx="568960" cy="781050"/>
                <wp:effectExtent l="0" t="0" r="0" b="0"/>
                <wp:docPr id="1" name="Imagine 3"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3" descr="Description: Stema noua - mica"/>
                        <pic:cNvPicPr>
                          <a:picLocks noChangeAspect="1" noChangeArrowheads="1"/>
                        </pic:cNvPicPr>
                      </pic:nvPicPr>
                      <pic:blipFill>
                        <a:blip r:embed="rId1"/>
                        <a:stretch>
                          <a:fillRect/>
                        </a:stretch>
                      </pic:blipFill>
                      <pic:spPr bwMode="auto">
                        <a:xfrm>
                          <a:off x="0" y="0"/>
                          <a:ext cx="568960" cy="781050"/>
                        </a:xfrm>
                        <a:prstGeom prst="rect">
                          <a:avLst/>
                        </a:prstGeom>
                      </pic:spPr>
                    </pic:pic>
                  </a:graphicData>
                </a:graphic>
              </wp:inline>
            </w:drawing>
          </w:r>
        </w:p>
      </w:tc>
      <w:tc>
        <w:tcPr>
          <w:tcW w:w="6620" w:type="dxa"/>
          <w:shd w:val="clear" w:color="auto" w:fill="auto"/>
          <w:vAlign w:val="center"/>
        </w:tcPr>
        <w:p w:rsidR="002E6417" w:rsidRDefault="00FD767B">
          <w:pPr>
            <w:rPr>
              <w:rFonts w:eastAsia="Calibri"/>
              <w:b/>
              <w:sz w:val="28"/>
              <w:szCs w:val="22"/>
              <w:lang w:val="ro-RO"/>
            </w:rPr>
          </w:pPr>
          <w:r>
            <w:rPr>
              <w:rFonts w:eastAsia="Calibri"/>
              <w:b/>
              <w:sz w:val="28"/>
              <w:szCs w:val="22"/>
              <w:lang w:val="ro-RO"/>
            </w:rPr>
            <w:t>ROMÂNIA</w:t>
          </w:r>
        </w:p>
        <w:p w:rsidR="002E6417" w:rsidRDefault="00FD767B">
          <w:pPr>
            <w:rPr>
              <w:rFonts w:eastAsia="Calibri"/>
              <w:b/>
              <w:sz w:val="28"/>
              <w:szCs w:val="22"/>
              <w:lang w:val="ro-RO"/>
            </w:rPr>
          </w:pPr>
          <w:r>
            <w:rPr>
              <w:rFonts w:eastAsia="Calibri"/>
              <w:b/>
              <w:sz w:val="28"/>
              <w:szCs w:val="22"/>
              <w:lang w:val="ro-RO"/>
            </w:rPr>
            <w:t>JUDEŢUL CLUJ</w:t>
          </w:r>
        </w:p>
        <w:p w:rsidR="002E6417" w:rsidRDefault="00FD767B">
          <w:pPr>
            <w:keepNext/>
            <w:outlineLvl w:val="0"/>
            <w:rPr>
              <w:rFonts w:ascii="Verdana" w:eastAsia="Calibri" w:hAnsi="Verdana" w:cs="Tahoma"/>
              <w:b/>
              <w:color w:val="333333"/>
              <w:sz w:val="22"/>
              <w:szCs w:val="22"/>
              <w:lang w:val="fr-FR"/>
            </w:rPr>
          </w:pPr>
          <w:r>
            <w:rPr>
              <w:rFonts w:eastAsia="Calibri"/>
              <w:b/>
              <w:color w:val="333333"/>
              <w:sz w:val="28"/>
              <w:szCs w:val="22"/>
              <w:lang w:val="fr-FR"/>
            </w:rPr>
            <w:t>MUNICIPIUL DEJ</w:t>
          </w:r>
        </w:p>
      </w:tc>
      <w:tc>
        <w:tcPr>
          <w:tcW w:w="1389" w:type="dxa"/>
          <w:shd w:val="clear" w:color="auto" w:fill="auto"/>
        </w:tcPr>
        <w:p w:rsidR="002E6417" w:rsidRDefault="002E6417">
          <w:pPr>
            <w:rPr>
              <w:rFonts w:ascii="Bookman Old Style" w:eastAsia="Calibri" w:hAnsi="Bookman Old Style"/>
              <w:sz w:val="22"/>
              <w:szCs w:val="22"/>
              <w:lang w:val="ro-RO"/>
            </w:rPr>
          </w:pPr>
        </w:p>
      </w:tc>
    </w:tr>
  </w:tbl>
  <w:p w:rsidR="002E6417" w:rsidRDefault="00FD767B">
    <w:pPr>
      <w:pBdr>
        <w:bottom w:val="single" w:sz="6" w:space="1" w:color="000000"/>
      </w:pBdr>
    </w:pPr>
    <w:r>
      <w:rPr>
        <w:color w:val="333333"/>
        <w:lang w:val="fr-FR"/>
      </w:rPr>
      <w:t xml:space="preserve">Str. 1 Mai nr. 2, Tel.: 0264/211790*, Fax 0264/212388, E-mail: </w:t>
    </w:r>
    <w:hyperlink r:id="rId2">
      <w:r>
        <w:rPr>
          <w:rStyle w:val="ListLabel13"/>
        </w:rPr>
        <w:t>primaria@dej.ro</w:t>
      </w:r>
    </w:hyperlink>
  </w:p>
  <w:p w:rsidR="002E6417" w:rsidRDefault="00FD767B">
    <w:pPr>
      <w:tabs>
        <w:tab w:val="center" w:pos="4320"/>
        <w:tab w:val="right" w:pos="8640"/>
      </w:tabs>
      <w:rPr>
        <w:lang w:val="pt-BR" w:eastAsia="nl-NL"/>
      </w:rPr>
    </w:pPr>
    <w:r>
      <w:rPr>
        <w:lang w:val="pt-BR" w:eastAsia="nl-NL"/>
      </w:rPr>
      <w:t xml:space="preserve">                 </w:t>
    </w:r>
    <w:r>
      <w:rPr>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356"/>
    <w:multiLevelType w:val="hybridMultilevel"/>
    <w:tmpl w:val="B55650F8"/>
    <w:lvl w:ilvl="0" w:tplc="0418000F">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nsid w:val="211B42E6"/>
    <w:multiLevelType w:val="multilevel"/>
    <w:tmpl w:val="72800F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55F5988"/>
    <w:multiLevelType w:val="multilevel"/>
    <w:tmpl w:val="074AEB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AE13C05"/>
    <w:multiLevelType w:val="multilevel"/>
    <w:tmpl w:val="B2A280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A7F483E"/>
    <w:multiLevelType w:val="multilevel"/>
    <w:tmpl w:val="6C4E661A"/>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58D94CE0"/>
    <w:multiLevelType w:val="hybridMultilevel"/>
    <w:tmpl w:val="C9AA269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
    <w:nsid w:val="709D0DB7"/>
    <w:multiLevelType w:val="hybridMultilevel"/>
    <w:tmpl w:val="9620E50C"/>
    <w:lvl w:ilvl="0" w:tplc="0418000F">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7">
    <w:nsid w:val="73641130"/>
    <w:multiLevelType w:val="hybridMultilevel"/>
    <w:tmpl w:val="ADD435F8"/>
    <w:lvl w:ilvl="0" w:tplc="05D4F362">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7"/>
    <w:rsid w:val="000C6EFF"/>
    <w:rsid w:val="00237D44"/>
    <w:rsid w:val="00295B0A"/>
    <w:rsid w:val="002E6417"/>
    <w:rsid w:val="00433F26"/>
    <w:rsid w:val="007647D4"/>
    <w:rsid w:val="007A77E0"/>
    <w:rsid w:val="00881544"/>
    <w:rsid w:val="00AF432C"/>
    <w:rsid w:val="00B93E9C"/>
    <w:rsid w:val="00C415C7"/>
    <w:rsid w:val="00CD501A"/>
    <w:rsid w:val="00ED130E"/>
    <w:rsid w:val="00FD1851"/>
    <w:rsid w:val="00FD76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CB"/>
    <w:rPr>
      <w:lang w:eastAsia="ro-RO"/>
    </w:rPr>
  </w:style>
  <w:style w:type="paragraph" w:styleId="Titlu1">
    <w:name w:val="heading 1"/>
    <w:basedOn w:val="Normal"/>
    <w:next w:val="Normal"/>
    <w:link w:val="Titlu1Caracter"/>
    <w:qFormat/>
    <w:rsid w:val="00D12ACB"/>
    <w:pPr>
      <w:keepNext/>
      <w:outlineLvl w:val="0"/>
    </w:pPr>
    <w:rPr>
      <w:sz w:val="24"/>
      <w:lang w:val="ro-RO"/>
    </w:rPr>
  </w:style>
  <w:style w:type="paragraph" w:styleId="Titlu3">
    <w:name w:val="heading 3"/>
    <w:basedOn w:val="Normal"/>
    <w:next w:val="Normal"/>
    <w:link w:val="Titlu3Caracter"/>
    <w:qFormat/>
    <w:rsid w:val="00D12ACB"/>
    <w:pPr>
      <w:keepNext/>
      <w:jc w:val="center"/>
      <w:outlineLvl w:val="2"/>
    </w:pPr>
    <w:rPr>
      <w:b/>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D12ACB"/>
    <w:rPr>
      <w:sz w:val="24"/>
      <w:lang w:val="ro-RO" w:eastAsia="ro-RO"/>
    </w:rPr>
  </w:style>
  <w:style w:type="character" w:customStyle="1" w:styleId="Titlu3Caracter">
    <w:name w:val="Titlu 3 Caracter"/>
    <w:basedOn w:val="Fontdeparagrafimplicit"/>
    <w:link w:val="Titlu3"/>
    <w:qFormat/>
    <w:rsid w:val="00D12ACB"/>
    <w:rPr>
      <w:b/>
      <w:sz w:val="24"/>
    </w:rPr>
  </w:style>
  <w:style w:type="character" w:styleId="Accentuat">
    <w:name w:val="Emphasis"/>
    <w:basedOn w:val="Fontdeparagrafimplicit"/>
    <w:qFormat/>
    <w:rsid w:val="00D12ACB"/>
    <w:rPr>
      <w:i/>
      <w:iCs/>
    </w:rPr>
  </w:style>
  <w:style w:type="character" w:customStyle="1" w:styleId="AntetCaracter">
    <w:name w:val="Antet Caracter"/>
    <w:basedOn w:val="Fontdeparagrafimplicit"/>
    <w:link w:val="Antet"/>
    <w:uiPriority w:val="99"/>
    <w:qFormat/>
    <w:rsid w:val="00DE0CA7"/>
    <w:rPr>
      <w:lang w:eastAsia="ro-RO"/>
    </w:rPr>
  </w:style>
  <w:style w:type="character" w:customStyle="1" w:styleId="SubsolCaracter">
    <w:name w:val="Subsol Caracter"/>
    <w:basedOn w:val="Fontdeparagrafimplicit"/>
    <w:link w:val="Subsol"/>
    <w:uiPriority w:val="99"/>
    <w:qFormat/>
    <w:rsid w:val="00DE0CA7"/>
    <w:rPr>
      <w:lang w:eastAsia="ro-RO"/>
    </w:rPr>
  </w:style>
  <w:style w:type="character" w:customStyle="1" w:styleId="TextnBalonCaracter">
    <w:name w:val="Text în Balon Caracter"/>
    <w:basedOn w:val="Fontdeparagrafimplicit"/>
    <w:link w:val="TextnBalon"/>
    <w:uiPriority w:val="99"/>
    <w:semiHidden/>
    <w:qFormat/>
    <w:rsid w:val="00DE0CA7"/>
    <w:rPr>
      <w:rFonts w:ascii="Tahoma" w:hAnsi="Tahoma" w:cs="Tahoma"/>
      <w:sz w:val="16"/>
      <w:szCs w:val="16"/>
      <w:lang w:eastAsia="ro-RO"/>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333333"/>
      <w:lang w:val="fr-FR"/>
    </w:rPr>
  </w:style>
  <w:style w:type="character" w:customStyle="1" w:styleId="InternetLink">
    <w:name w:val="Internet Link"/>
    <w:rPr>
      <w:color w:val="000080"/>
      <w:u w:val="single"/>
    </w:rPr>
  </w:style>
  <w:style w:type="character" w:customStyle="1" w:styleId="ListLabel14">
    <w:name w:val="ListLabel 14"/>
    <w:qFormat/>
    <w:rPr>
      <w:rFonts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color w:val="333333"/>
      <w:lang w:val="fr-FR"/>
    </w:rPr>
  </w:style>
  <w:style w:type="character" w:customStyle="1" w:styleId="ListLabel24">
    <w:name w:val="ListLabel 24"/>
    <w:qFormat/>
    <w:rPr>
      <w:rFonts w:cs="Times New Roman"/>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color w:val="333333"/>
      <w:lang w:val="fr-FR"/>
    </w:rPr>
  </w:style>
  <w:style w:type="character" w:customStyle="1" w:styleId="ListLabel34">
    <w:name w:val="ListLabel 34"/>
    <w:qFormat/>
    <w:rPr>
      <w:rFonts w:cs="Times New Roman"/>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color w:val="333333"/>
      <w:lang w:val="fr-FR"/>
    </w:rPr>
  </w:style>
  <w:style w:type="character" w:customStyle="1" w:styleId="ListLabel44">
    <w:name w:val="ListLabel 44"/>
    <w:qFormat/>
    <w:rPr>
      <w:rFonts w:cs="Times New Roman"/>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color w:val="333333"/>
      <w:lang w:val="fr-FR"/>
    </w:rPr>
  </w:style>
  <w:style w:type="character" w:customStyle="1" w:styleId="ListLabel54">
    <w:name w:val="ListLabel 54"/>
    <w:qFormat/>
    <w:rPr>
      <w:rFonts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color w:val="333333"/>
      <w:lang w:val="fr-FR"/>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ntet">
    <w:name w:val="header"/>
    <w:basedOn w:val="Normal"/>
    <w:link w:val="AntetCaracter"/>
    <w:uiPriority w:val="99"/>
    <w:unhideWhenUsed/>
    <w:rsid w:val="00DE0CA7"/>
    <w:pPr>
      <w:tabs>
        <w:tab w:val="center" w:pos="4680"/>
        <w:tab w:val="right" w:pos="9360"/>
      </w:tabs>
    </w:pPr>
  </w:style>
  <w:style w:type="paragraph" w:styleId="Subsol">
    <w:name w:val="footer"/>
    <w:basedOn w:val="Normal"/>
    <w:link w:val="SubsolCaracter"/>
    <w:uiPriority w:val="99"/>
    <w:unhideWhenUsed/>
    <w:rsid w:val="00DE0CA7"/>
    <w:pPr>
      <w:tabs>
        <w:tab w:val="center" w:pos="4680"/>
        <w:tab w:val="right" w:pos="9360"/>
      </w:tabs>
    </w:pPr>
  </w:style>
  <w:style w:type="paragraph" w:styleId="TextnBalon">
    <w:name w:val="Balloon Text"/>
    <w:basedOn w:val="Normal"/>
    <w:link w:val="TextnBalonCaracter"/>
    <w:uiPriority w:val="99"/>
    <w:semiHidden/>
    <w:unhideWhenUsed/>
    <w:qFormat/>
    <w:rsid w:val="00DE0CA7"/>
    <w:rPr>
      <w:rFonts w:ascii="Tahoma" w:hAnsi="Tahoma" w:cs="Tahoma"/>
      <w:sz w:val="16"/>
      <w:szCs w:val="16"/>
    </w:rPr>
  </w:style>
  <w:style w:type="paragraph" w:styleId="Listparagraf">
    <w:name w:val="List Paragraph"/>
    <w:basedOn w:val="Normal"/>
    <w:uiPriority w:val="34"/>
    <w:qFormat/>
    <w:rsid w:val="00DE0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CB"/>
    <w:rPr>
      <w:lang w:eastAsia="ro-RO"/>
    </w:rPr>
  </w:style>
  <w:style w:type="paragraph" w:styleId="Titlu1">
    <w:name w:val="heading 1"/>
    <w:basedOn w:val="Normal"/>
    <w:next w:val="Normal"/>
    <w:link w:val="Titlu1Caracter"/>
    <w:qFormat/>
    <w:rsid w:val="00D12ACB"/>
    <w:pPr>
      <w:keepNext/>
      <w:outlineLvl w:val="0"/>
    </w:pPr>
    <w:rPr>
      <w:sz w:val="24"/>
      <w:lang w:val="ro-RO"/>
    </w:rPr>
  </w:style>
  <w:style w:type="paragraph" w:styleId="Titlu3">
    <w:name w:val="heading 3"/>
    <w:basedOn w:val="Normal"/>
    <w:next w:val="Normal"/>
    <w:link w:val="Titlu3Caracter"/>
    <w:qFormat/>
    <w:rsid w:val="00D12ACB"/>
    <w:pPr>
      <w:keepNext/>
      <w:jc w:val="center"/>
      <w:outlineLvl w:val="2"/>
    </w:pPr>
    <w:rPr>
      <w:b/>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D12ACB"/>
    <w:rPr>
      <w:sz w:val="24"/>
      <w:lang w:val="ro-RO" w:eastAsia="ro-RO"/>
    </w:rPr>
  </w:style>
  <w:style w:type="character" w:customStyle="1" w:styleId="Titlu3Caracter">
    <w:name w:val="Titlu 3 Caracter"/>
    <w:basedOn w:val="Fontdeparagrafimplicit"/>
    <w:link w:val="Titlu3"/>
    <w:qFormat/>
    <w:rsid w:val="00D12ACB"/>
    <w:rPr>
      <w:b/>
      <w:sz w:val="24"/>
    </w:rPr>
  </w:style>
  <w:style w:type="character" w:styleId="Accentuat">
    <w:name w:val="Emphasis"/>
    <w:basedOn w:val="Fontdeparagrafimplicit"/>
    <w:qFormat/>
    <w:rsid w:val="00D12ACB"/>
    <w:rPr>
      <w:i/>
      <w:iCs/>
    </w:rPr>
  </w:style>
  <w:style w:type="character" w:customStyle="1" w:styleId="AntetCaracter">
    <w:name w:val="Antet Caracter"/>
    <w:basedOn w:val="Fontdeparagrafimplicit"/>
    <w:link w:val="Antet"/>
    <w:uiPriority w:val="99"/>
    <w:qFormat/>
    <w:rsid w:val="00DE0CA7"/>
    <w:rPr>
      <w:lang w:eastAsia="ro-RO"/>
    </w:rPr>
  </w:style>
  <w:style w:type="character" w:customStyle="1" w:styleId="SubsolCaracter">
    <w:name w:val="Subsol Caracter"/>
    <w:basedOn w:val="Fontdeparagrafimplicit"/>
    <w:link w:val="Subsol"/>
    <w:uiPriority w:val="99"/>
    <w:qFormat/>
    <w:rsid w:val="00DE0CA7"/>
    <w:rPr>
      <w:lang w:eastAsia="ro-RO"/>
    </w:rPr>
  </w:style>
  <w:style w:type="character" w:customStyle="1" w:styleId="TextnBalonCaracter">
    <w:name w:val="Text în Balon Caracter"/>
    <w:basedOn w:val="Fontdeparagrafimplicit"/>
    <w:link w:val="TextnBalon"/>
    <w:uiPriority w:val="99"/>
    <w:semiHidden/>
    <w:qFormat/>
    <w:rsid w:val="00DE0CA7"/>
    <w:rPr>
      <w:rFonts w:ascii="Tahoma" w:hAnsi="Tahoma" w:cs="Tahoma"/>
      <w:sz w:val="16"/>
      <w:szCs w:val="16"/>
      <w:lang w:eastAsia="ro-RO"/>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333333"/>
      <w:lang w:val="fr-FR"/>
    </w:rPr>
  </w:style>
  <w:style w:type="character" w:customStyle="1" w:styleId="InternetLink">
    <w:name w:val="Internet Link"/>
    <w:rPr>
      <w:color w:val="000080"/>
      <w:u w:val="single"/>
    </w:rPr>
  </w:style>
  <w:style w:type="character" w:customStyle="1" w:styleId="ListLabel14">
    <w:name w:val="ListLabel 14"/>
    <w:qFormat/>
    <w:rPr>
      <w:rFonts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color w:val="333333"/>
      <w:lang w:val="fr-FR"/>
    </w:rPr>
  </w:style>
  <w:style w:type="character" w:customStyle="1" w:styleId="ListLabel24">
    <w:name w:val="ListLabel 24"/>
    <w:qFormat/>
    <w:rPr>
      <w:rFonts w:cs="Times New Roman"/>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color w:val="333333"/>
      <w:lang w:val="fr-FR"/>
    </w:rPr>
  </w:style>
  <w:style w:type="character" w:customStyle="1" w:styleId="ListLabel34">
    <w:name w:val="ListLabel 34"/>
    <w:qFormat/>
    <w:rPr>
      <w:rFonts w:cs="Times New Roman"/>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color w:val="333333"/>
      <w:lang w:val="fr-FR"/>
    </w:rPr>
  </w:style>
  <w:style w:type="character" w:customStyle="1" w:styleId="ListLabel44">
    <w:name w:val="ListLabel 44"/>
    <w:qFormat/>
    <w:rPr>
      <w:rFonts w:cs="Times New Roman"/>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color w:val="333333"/>
      <w:lang w:val="fr-FR"/>
    </w:rPr>
  </w:style>
  <w:style w:type="character" w:customStyle="1" w:styleId="ListLabel54">
    <w:name w:val="ListLabel 54"/>
    <w:qFormat/>
    <w:rPr>
      <w:rFonts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color w:val="333333"/>
      <w:lang w:val="fr-FR"/>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ntet">
    <w:name w:val="header"/>
    <w:basedOn w:val="Normal"/>
    <w:link w:val="AntetCaracter"/>
    <w:uiPriority w:val="99"/>
    <w:unhideWhenUsed/>
    <w:rsid w:val="00DE0CA7"/>
    <w:pPr>
      <w:tabs>
        <w:tab w:val="center" w:pos="4680"/>
        <w:tab w:val="right" w:pos="9360"/>
      </w:tabs>
    </w:pPr>
  </w:style>
  <w:style w:type="paragraph" w:styleId="Subsol">
    <w:name w:val="footer"/>
    <w:basedOn w:val="Normal"/>
    <w:link w:val="SubsolCaracter"/>
    <w:uiPriority w:val="99"/>
    <w:unhideWhenUsed/>
    <w:rsid w:val="00DE0CA7"/>
    <w:pPr>
      <w:tabs>
        <w:tab w:val="center" w:pos="4680"/>
        <w:tab w:val="right" w:pos="9360"/>
      </w:tabs>
    </w:pPr>
  </w:style>
  <w:style w:type="paragraph" w:styleId="TextnBalon">
    <w:name w:val="Balloon Text"/>
    <w:basedOn w:val="Normal"/>
    <w:link w:val="TextnBalonCaracter"/>
    <w:uiPriority w:val="99"/>
    <w:semiHidden/>
    <w:unhideWhenUsed/>
    <w:qFormat/>
    <w:rsid w:val="00DE0CA7"/>
    <w:rPr>
      <w:rFonts w:ascii="Tahoma" w:hAnsi="Tahoma" w:cs="Tahoma"/>
      <w:sz w:val="16"/>
      <w:szCs w:val="16"/>
    </w:rPr>
  </w:style>
  <w:style w:type="paragraph" w:styleId="Listparagraf">
    <w:name w:val="List Paragraph"/>
    <w:basedOn w:val="Normal"/>
    <w:uiPriority w:val="34"/>
    <w:qFormat/>
    <w:rsid w:val="00DE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479E-E2B1-429A-90C5-DE51F486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4652</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Muresan</dc:creator>
  <cp:lastModifiedBy>Alexandru Gherman</cp:lastModifiedBy>
  <cp:revision>4</cp:revision>
  <cp:lastPrinted>2019-06-28T11:17:00Z</cp:lastPrinted>
  <dcterms:created xsi:type="dcterms:W3CDTF">2019-07-18T11:34:00Z</dcterms:created>
  <dcterms:modified xsi:type="dcterms:W3CDTF">2019-07-18T11:50:00Z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